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1676" w:rsidRPr="00E60D2F" w:rsidRDefault="00731676" w:rsidP="00731676">
      <w:pPr>
        <w:tabs>
          <w:tab w:val="left" w:pos="156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r w:rsidRPr="00E60D2F">
        <w:rPr>
          <w:rFonts w:ascii="Times New Roman" w:hAnsi="Times New Roman" w:cs="Times New Roman"/>
          <w:b/>
          <w:sz w:val="28"/>
          <w:szCs w:val="28"/>
        </w:rPr>
        <w:t xml:space="preserve">Артамонов,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bookmarkStart w:id="0" w:name="_GoBack"/>
      <w:bookmarkEnd w:id="0"/>
      <w:r w:rsidRPr="00E60D2F">
        <w:rPr>
          <w:rFonts w:ascii="Times New Roman" w:hAnsi="Times New Roman" w:cs="Times New Roman"/>
          <w:b/>
          <w:sz w:val="28"/>
          <w:szCs w:val="28"/>
        </w:rPr>
        <w:t>Карасева. Футболки из проекта «Вовлеченность»</w:t>
      </w:r>
    </w:p>
    <w:p w:rsidR="00731676" w:rsidRDefault="00731676" w:rsidP="00731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Футболки являются составной частью уникальной акции «Вовлеченность», осуществленной художниками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2019 году, </w:t>
      </w:r>
    </w:p>
    <w:p w:rsidR="00731676" w:rsidRDefault="00731676" w:rsidP="00731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которой отечественные художественные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академических пенсионерских поездок художников за рубеж, чаще всего в Италию, и передвижных выставок были реализованы в новых формах. </w:t>
      </w:r>
    </w:p>
    <w:p w:rsidR="00731676" w:rsidRDefault="00731676" w:rsidP="00731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Футболки с напечатанными на них в техниках офорта, линогравюры и шелкографии произведениями, характерными для каждого из участника 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 по сути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передвижной экспозицией, которая вместе с художниками перемещалась из города в город, из музея в музей. Таким образом они побывали в Милане,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Верчелли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Риме, Флоренции, в музеях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Новеченто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Уффици и других, создавая таким образом своеобразный диалог шедевров мирового искусства и своих собственных произведений, вовлекая в невольное общение окружающих – итальянцев и туристов из разных стран.</w:t>
      </w:r>
    </w:p>
    <w:p w:rsidR="00731676" w:rsidRDefault="00731676" w:rsidP="00731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Общими элементами всех футболок стали логотип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девиз выставки </w:t>
      </w:r>
      <w:r w:rsidRPr="006011C4">
        <w:rPr>
          <w:rFonts w:ascii="Times New Roman" w:hAnsi="Times New Roman" w:cs="Times New Roman"/>
          <w:sz w:val="28"/>
          <w:szCs w:val="28"/>
        </w:rPr>
        <w:t>«Печатная графика объединяет»</w:t>
      </w:r>
      <w:r>
        <w:rPr>
          <w:rFonts w:ascii="Times New Roman" w:hAnsi="Times New Roman" w:cs="Times New Roman"/>
          <w:sz w:val="28"/>
          <w:szCs w:val="28"/>
        </w:rPr>
        <w:t xml:space="preserve"> на разных языках – русском, английском, итальянском, французском, татарском, названия стран и государственные флаги России, Татарстана и Италии, а также наименования и эмблемы Творческого союза художников России и Российской академии художеств, которые поддержали этот проект и предоставили финансовую возможность для его осуществления.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76"/>
    <w:rsid w:val="006C0B77"/>
    <w:rsid w:val="0073167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EAED"/>
  <w15:chartTrackingRefBased/>
  <w15:docId w15:val="{4BD3BE48-F6EB-456A-9523-FE75420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2023-09-13T11:15:00Z</dcterms:created>
  <dcterms:modified xsi:type="dcterms:W3CDTF">2023-09-13T11:19:00Z</dcterms:modified>
</cp:coreProperties>
</file>